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BF" w:rsidRDefault="006812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12BF" w:rsidRDefault="006812BF">
      <w:pPr>
        <w:pStyle w:val="ConsPlusNormal"/>
        <w:jc w:val="both"/>
        <w:outlineLvl w:val="0"/>
      </w:pPr>
    </w:p>
    <w:p w:rsidR="006812BF" w:rsidRDefault="006812BF">
      <w:pPr>
        <w:pStyle w:val="ConsPlusNormal"/>
        <w:outlineLvl w:val="0"/>
      </w:pPr>
      <w:r>
        <w:t>Зарегистрировано в Минюсте России 12 января 2022 г. N 66830</w:t>
      </w:r>
    </w:p>
    <w:p w:rsidR="006812BF" w:rsidRDefault="00681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812BF" w:rsidRDefault="006812BF">
      <w:pPr>
        <w:pStyle w:val="ConsPlusTitle"/>
        <w:jc w:val="center"/>
      </w:pPr>
    </w:p>
    <w:p w:rsidR="006812BF" w:rsidRDefault="006812BF">
      <w:pPr>
        <w:pStyle w:val="ConsPlusTitle"/>
        <w:jc w:val="center"/>
      </w:pPr>
      <w:r>
        <w:t>ПРИКАЗ</w:t>
      </w:r>
    </w:p>
    <w:p w:rsidR="006812BF" w:rsidRDefault="006812BF">
      <w:pPr>
        <w:pStyle w:val="ConsPlusTitle"/>
        <w:jc w:val="center"/>
      </w:pPr>
      <w:r>
        <w:t>от 29 сентября 2021 г. N 664н</w:t>
      </w:r>
    </w:p>
    <w:p w:rsidR="006812BF" w:rsidRDefault="006812BF">
      <w:pPr>
        <w:pStyle w:val="ConsPlusTitle"/>
        <w:jc w:val="center"/>
      </w:pPr>
    </w:p>
    <w:p w:rsidR="006812BF" w:rsidRDefault="006812BF">
      <w:pPr>
        <w:pStyle w:val="ConsPlusTitle"/>
        <w:jc w:val="center"/>
      </w:pPr>
      <w:r>
        <w:t>ОБ УТВЕРЖДЕНИИ ОСОБЕННОСТЕЙ</w:t>
      </w:r>
    </w:p>
    <w:p w:rsidR="006812BF" w:rsidRDefault="006812BF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6812BF" w:rsidRDefault="006812BF">
      <w:pPr>
        <w:pStyle w:val="ConsPlusTitle"/>
        <w:jc w:val="center"/>
      </w:pPr>
      <w:r>
        <w:t>МЕСТАХ МЕДИЦИНСКИХ РАБОТНИКОВ, НЕПОСРЕДСТВЕННО ОКАЗЫВАЮЩИХ</w:t>
      </w:r>
    </w:p>
    <w:p w:rsidR="006812BF" w:rsidRDefault="006812BF">
      <w:pPr>
        <w:pStyle w:val="ConsPlusTitle"/>
        <w:jc w:val="center"/>
      </w:pPr>
      <w:r>
        <w:t>ПАЛЛИАТИВНУЮ МЕДИЦИНСКУЮ ПОМОЩЬ В СООТВЕТСТВИИ СО СВОИМИ</w:t>
      </w:r>
    </w:p>
    <w:p w:rsidR="006812BF" w:rsidRDefault="006812BF">
      <w:pPr>
        <w:pStyle w:val="ConsPlusTitle"/>
        <w:jc w:val="center"/>
      </w:pPr>
      <w:r>
        <w:t>ДОЛЖНОСТНЫМИ ОБЯЗАННОСТЯМИ И ОСУЩЕСТВЛЯЮЩИХ УКАЗАННУЮ</w:t>
      </w:r>
    </w:p>
    <w:p w:rsidR="006812BF" w:rsidRDefault="006812BF">
      <w:pPr>
        <w:pStyle w:val="ConsPlusTitle"/>
        <w:jc w:val="center"/>
      </w:pPr>
      <w:r>
        <w:t>ДЕЯТЕЛЬНОСТЬ В МЕДИЦИНСКИХ ОРГАНИЗАЦИЯХ ИЛИ СТРУКТУРНЫХ</w:t>
      </w:r>
    </w:p>
    <w:p w:rsidR="006812BF" w:rsidRDefault="006812BF">
      <w:pPr>
        <w:pStyle w:val="ConsPlusTitle"/>
        <w:jc w:val="center"/>
      </w:pPr>
      <w:r>
        <w:t>ПОДРАЗДЕЛЕНИЯХ МЕДИЦИНСКИХ ОРГАНИЗАЦИЙ, СПЕЦИАЛИЗИРУЮЩИХСЯ</w:t>
      </w:r>
    </w:p>
    <w:p w:rsidR="006812BF" w:rsidRDefault="006812BF">
      <w:pPr>
        <w:pStyle w:val="ConsPlusTitle"/>
        <w:jc w:val="center"/>
      </w:pPr>
      <w:r>
        <w:t>НА ОКАЗАНИИ ПАЛЛИАТИВНОЙ МЕДИЦИНСКОЙ ПОМОЩИ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9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2015, N 29, ст. 4342), </w:t>
      </w:r>
      <w:hyperlink r:id="rId6">
        <w:r>
          <w:rPr>
            <w:color w:val="0000FF"/>
          </w:rPr>
          <w:t>подпунктом 5.2.16(1)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и </w:t>
      </w:r>
      <w:hyperlink r:id="rId7">
        <w:r>
          <w:rPr>
            <w:color w:val="0000FF"/>
          </w:rPr>
          <w:t>пунктом 17</w:t>
        </w:r>
      </w:hyperlink>
      <w: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2056; 2021, N 9, ст. 1505), приказываю: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особенности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помощи, согласно </w:t>
      </w:r>
      <w:hyperlink w:anchor="P35">
        <w:r>
          <w:rPr>
            <w:color w:val="0000FF"/>
          </w:rPr>
          <w:t>приложению</w:t>
        </w:r>
      </w:hyperlink>
      <w:r>
        <w:t>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сентября 2022 г. и действует до 31 августа 2028 г.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right"/>
      </w:pPr>
      <w:r>
        <w:t>Врио Министра</w:t>
      </w:r>
    </w:p>
    <w:p w:rsidR="006812BF" w:rsidRDefault="006812BF">
      <w:pPr>
        <w:pStyle w:val="ConsPlusNormal"/>
        <w:jc w:val="right"/>
      </w:pPr>
      <w:r>
        <w:t>А.В.ВОВЧЕНКО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right"/>
        <w:outlineLvl w:val="0"/>
      </w:pPr>
      <w:r>
        <w:t>Приложение</w:t>
      </w:r>
    </w:p>
    <w:p w:rsidR="006812BF" w:rsidRDefault="006812BF">
      <w:pPr>
        <w:pStyle w:val="ConsPlusNormal"/>
        <w:jc w:val="right"/>
      </w:pPr>
      <w:r>
        <w:t>к приказу Министерства труда</w:t>
      </w:r>
    </w:p>
    <w:p w:rsidR="006812BF" w:rsidRDefault="006812BF">
      <w:pPr>
        <w:pStyle w:val="ConsPlusNormal"/>
        <w:jc w:val="right"/>
      </w:pPr>
      <w:r>
        <w:t>и социальной защиты</w:t>
      </w:r>
    </w:p>
    <w:p w:rsidR="006812BF" w:rsidRDefault="006812BF">
      <w:pPr>
        <w:pStyle w:val="ConsPlusNormal"/>
        <w:jc w:val="right"/>
      </w:pPr>
      <w:r>
        <w:t>Российской Федерации</w:t>
      </w:r>
    </w:p>
    <w:p w:rsidR="006812BF" w:rsidRDefault="006812BF">
      <w:pPr>
        <w:pStyle w:val="ConsPlusNormal"/>
        <w:jc w:val="right"/>
      </w:pPr>
      <w:r>
        <w:t>от 29 сентября 2021 г. N 664н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Title"/>
        <w:jc w:val="center"/>
      </w:pPr>
      <w:bookmarkStart w:id="0" w:name="P35"/>
      <w:bookmarkEnd w:id="0"/>
      <w:r>
        <w:t>ОСОБЕННОСТИ</w:t>
      </w:r>
    </w:p>
    <w:p w:rsidR="006812BF" w:rsidRDefault="006812BF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6812BF" w:rsidRDefault="006812BF">
      <w:pPr>
        <w:pStyle w:val="ConsPlusTitle"/>
        <w:jc w:val="center"/>
      </w:pPr>
      <w:r>
        <w:t>МЕСТАХ МЕДИЦИНСКИХ РАБОТНИКОВ, НЕПОСРЕДСТВЕННО ОКАЗЫВАЮЩИХ</w:t>
      </w:r>
    </w:p>
    <w:p w:rsidR="006812BF" w:rsidRDefault="006812BF">
      <w:pPr>
        <w:pStyle w:val="ConsPlusTitle"/>
        <w:jc w:val="center"/>
      </w:pPr>
      <w:r>
        <w:t>ПАЛЛИАТИВНУЮ МЕДИЦИНСКУЮ ПОМОЩЬ В СООТВЕТСТВИИ СО СВОИМИ</w:t>
      </w:r>
    </w:p>
    <w:p w:rsidR="006812BF" w:rsidRDefault="006812BF">
      <w:pPr>
        <w:pStyle w:val="ConsPlusTitle"/>
        <w:jc w:val="center"/>
      </w:pPr>
      <w:r>
        <w:t>ДОЛЖНОСТНЫМИ ОБЯЗАННОСТЯМИ И ОСУЩЕСТВЛЯЮЩИХ УКАЗАННУЮ</w:t>
      </w:r>
    </w:p>
    <w:p w:rsidR="006812BF" w:rsidRDefault="006812BF">
      <w:pPr>
        <w:pStyle w:val="ConsPlusTitle"/>
        <w:jc w:val="center"/>
      </w:pPr>
      <w:r>
        <w:t>ДЕЯТЕЛЬНОСТЬ В МЕДИЦИНСКИХ ОРГАНИЗАЦИЯХ ИЛИ СТРУКТУРНЫХ</w:t>
      </w:r>
    </w:p>
    <w:p w:rsidR="006812BF" w:rsidRDefault="006812BF">
      <w:pPr>
        <w:pStyle w:val="ConsPlusTitle"/>
        <w:jc w:val="center"/>
      </w:pPr>
      <w:r>
        <w:t>ПОДРАЗДЕЛЕНИЯХ МЕДИЦИНСКИХ ОРГАНИЗАЦИЙ, СПЕЦИАЛИЗИРУЮЩИХСЯ</w:t>
      </w:r>
    </w:p>
    <w:p w:rsidR="006812BF" w:rsidRDefault="006812BF">
      <w:pPr>
        <w:pStyle w:val="ConsPlusTitle"/>
        <w:jc w:val="center"/>
      </w:pPr>
      <w:r>
        <w:t>НА ОКАЗАНИИ ПАЛЛИАТИВНОЙ МЕДИЦИНСКОЙ ПОМОЩИ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ind w:firstLine="540"/>
        <w:jc w:val="both"/>
      </w:pPr>
      <w:bookmarkStart w:id="1" w:name="P44"/>
      <w:bookmarkEnd w:id="1"/>
      <w:r>
        <w:t xml:space="preserve">1. Специальная оценка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 в кабинетах паллиативной медицинской помощи взрослым; в отделениях выездной патронажной паллиативной медицинской помощи взрослым; в отделениях паллиативной медицинской помощи взрослым; в дневных стационарах паллиативной медицинской помощи взрослым; в хосписах для взрослых; в домах (больницах) сестринского ухода для взрослых; в отделениях сестринского ухода для взрослых; в респираторных центрах для взрослых; 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 в отделениях (на койках) паллиативной медицинской помощи детям, в том числе проживающим в стационарных организациях социального обслуживания; в дневных стационарах паллиативной медицинской помощи детям; в хосписах для детей (далее соответственно - работники, рабочие места), осуществляется в соответствии с </w:t>
      </w:r>
      <w:hyperlink r:id="rId8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&lt;1&gt; с учетом установленных настоящим приказом особенностей проведения специальной оценки условий труда на указанных рабочих местах (далее - Особенности).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 xml:space="preserve">&lt;1&gt; Утверждена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ind w:firstLine="540"/>
        <w:jc w:val="both"/>
      </w:pPr>
      <w:r>
        <w:t xml:space="preserve">2. Проведение специальной оценки условий труда экспертами и иными работниками проводящей специальную оценку условий труда организации, непосредственно участвующими в проведении такой оценки на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Особенностей рабочих местах, допустимо при условии: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а) наличия у указанных лиц медицинского заключения об отсутствии инфекционных заболеваний, сертификата о вакцинации от новой коронавирусной инфекции;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б) осуществления деятельности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в) обеспечения соблюдения требований, связанных с необходимостью поддержания на рабочих местах особого микробиологического состояния среды, прохождения полной санитарной обработки в санитарном пропускнике со сменой одежды и дезинфекцией рук, находиться в санитарной одежде (халат, бахилы, шапочка, маска).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 xml:space="preserve"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местах, перечисленных в </w:t>
      </w:r>
      <w:hyperlink w:anchor="P44">
        <w:r>
          <w:rPr>
            <w:color w:val="0000FF"/>
          </w:rPr>
          <w:t>пункте 1</w:t>
        </w:r>
      </w:hyperlink>
      <w:r>
        <w:t xml:space="preserve"> Особенностей, в присутствии лиц, которым оказывается паллиативная медицинская помощь или в отношении которых осуществляется уход и обслуживание, не допускается.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lastRenderedPageBreak/>
        <w:t>а) химический фактор;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б) биологический фактор;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в) неионизирующее излучение (при использовании медицинского оборудования, являющегося источником указанного фактора);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г) ионизирующее излучение (при использовании медицинского оборудования, являющегося источником указанного фактора);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д) параметры микроклимата;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е) тяжесть трудового процесса;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ж) напряженность трудового процесса.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6. В ходе проведения исследований (испытаний) и измерений биологического фактора на рабочих местах экспертом организации, проводящей специальную оценку условий труда, учитываются статистические данные об имеющихся (имевшихся) инфекционных заболеваниях у лиц, которым оказывается паллиативная медицинская помощь или в отношении которых осуществляется уход и обслуживание, и предложения работников (при наличии).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7. При проведении исследований (испытаний) и измерений параметров микроклимата, наряду с температурой, влажностью и скоростью движения воздуха, дополнительно учитывается наличие неустранимого адорогенного компонента - специфичных запахов, источниками которых являются хронические раны, в том числе с некротическим компонентом, и (или) физиологические оправления пациентов, которым оказывается паллиативная медицинская помощь.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При наличии на рабочих местах медицинских работников, занятых оказанием паллиативной медицинской помощи, неустранимого адорогенного компонента в оформляемых протоколах делается запись о его наличии без проведения исследований (испытаний) и измерений, а класс (подкласс) условий труда по параметрам микроклимата устанавливается не ниже 3.1.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8. В ходе проведения специальной оценки условий труда на рабочих местах обязательному исследованию (испытанию) и измерению подлежит тяжесть трудового процесса, связанная в том числе с выполнением на рабочих местах в течение рабочего дня (смены) действий в связи с оказанием медицинскими работниками: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а) специализированной паллиативной медицинской помощи больным, находящимся в "терминальном состоянии", страдающим неизлечимыми хроническими прогрессирующими заболеваниями;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б) необходимой медицинской и иной помощи пациентам, находящимся в беспомощном, обездвиженном, маломобильном состоянии, не способных к самостоятельному перемещению и самообслуживанию;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в) необходимой медицинской и иной помощи непосредственно пациентам с хроническими инфекционными процессами, онкологией, туберкулезом в том числе со множественной лекарственной устойчивостью/широкой лекарственной устойчивостью, СПИДом, пациентам с гнойно-язвенными нарушениями целостности кожи, мышц (области распада/некроза опухоли, пролежни), со стомами (колостома, гастростома, трахеостома и другие стомы), катетерами, дренажами, зондами, а также вентиляционно зависимым пациентам;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г) необходимой медицинской и иной помощи пациентам и родственникам пациентов, находящимся в реактивных состояниях, связанных с нарушением адаптации, депрессии, риском суицида, а также пациентам с психоневрологическими и когнитивными нарушениями/расстройствами, делириями;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д) подготовкой тел умерших пациентов для их транспортировки в морг.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При отнесении условий труда на указанных рабочих местах по тяжести трудового процесса в протоколе исследований (испытаний) и измерений тяжести трудового процесса делается запись о наличии на рабочих местах соответствующих действий, а итоговый класс (подкласс) условий труда по параметрам тяжести трудового процесса устанавливается не ниже 3.2.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lastRenderedPageBreak/>
        <w:t>9.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10. Оценка травмоопасности рабочих мест проводится экспертом организации, проводящей специальную оценку условий труда, на возможность осуществления на объектах оценки травмоопасности действий третьих лиц или пациентов, способных создать угрозу жизни и здоровью медицинских работников.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11. Результаты оценки травмоопасности рабочих мест оформляются протоколом,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12. По результатам оценки травмоопасности рабочих мест условия труда классифицируются следующим образом: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а) допустимый класс травмоопасности - на рабочем месте не выявлено нарушений требований охраны труда и условия труда не создают травмоопасных факторов;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б) опасный класс травмоопасности - на рабочем месте выявлено одно или несколько нарушений требований охраны труда и (или) условия труда создают травмоопасные факторы.</w:t>
      </w:r>
    </w:p>
    <w:p w:rsidR="006812BF" w:rsidRDefault="006812BF">
      <w:pPr>
        <w:pStyle w:val="ConsPlusNormal"/>
        <w:spacing w:before="200"/>
        <w:ind w:firstLine="540"/>
        <w:jc w:val="both"/>
      </w:pPr>
      <w:r>
        <w:t>13. В случае отнесения условий труда по результатам оценки травмоопасности рабочих мест к опасному классу травмоопасности итоговый класс (подкласс) условий труда на таких рабочих местах повышается на одну степень.</w:t>
      </w: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jc w:val="both"/>
      </w:pPr>
    </w:p>
    <w:p w:rsidR="006812BF" w:rsidRDefault="006812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D05" w:rsidRDefault="00363D05">
      <w:bookmarkStart w:id="2" w:name="_GoBack"/>
      <w:bookmarkEnd w:id="2"/>
    </w:p>
    <w:sectPr w:rsidR="00363D05" w:rsidSect="0051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BF"/>
    <w:rsid w:val="00363D05"/>
    <w:rsid w:val="006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0395-EA14-46DB-A639-EBC4724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12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12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810F86E4B3322B4792A3D4D516A452FEBAE6AF929590D37CBE868891ECABD2CB439C9AFA36444B4CEE44917B19B2AB03522CC0BB1EB2vA0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2810F86E4B3322B4792A3D4D516A452FFBDE4AC919590D37CBE868891ECABD2CB439C9BF162140B12B715D73014BBB71F5227vD0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2810F86E4B3322B4792A3D4D516A455FABEE5AA959590D37CBE868891ECABD2CB439E93F162140B12B715D73014BBB71F5227vD0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52810F86E4B3322B4792A3D4D516A452FDBFEAA3959590D37CBE868891ECABD2CB439C9AFA35474C4CEE44917B19B2AB03522CC0BB1EB2vA09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52810F86E4B3322B4792A3D4D516A452FEBAE6AF929590D37CBE868891ECABC0CB1B909AF828454659B815D7v20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Анна Алексеевна</dc:creator>
  <cp:keywords/>
  <dc:description/>
  <cp:lastModifiedBy>Мягкова Анна Алексеевна</cp:lastModifiedBy>
  <cp:revision>1</cp:revision>
  <dcterms:created xsi:type="dcterms:W3CDTF">2022-09-02T04:52:00Z</dcterms:created>
  <dcterms:modified xsi:type="dcterms:W3CDTF">2022-09-02T04:53:00Z</dcterms:modified>
</cp:coreProperties>
</file>